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947B" w14:textId="096E6A18" w:rsidR="000C2A5D" w:rsidRPr="00B02757" w:rsidRDefault="00000000" w:rsidP="00B02757">
      <w:pPr>
        <w:pStyle w:val="AbstractTitle"/>
        <w:rPr>
          <w:sz w:val="28"/>
          <w:szCs w:val="28"/>
        </w:rPr>
      </w:pPr>
      <w:r w:rsidRPr="00B02757">
        <w:rPr>
          <w:sz w:val="28"/>
          <w:szCs w:val="28"/>
        </w:rPr>
        <w:t xml:space="preserve">Become an associated partner in </w:t>
      </w:r>
      <w:proofErr w:type="spellStart"/>
      <w:r w:rsidR="00B02757">
        <w:rPr>
          <w:sz w:val="28"/>
          <w:szCs w:val="28"/>
        </w:rPr>
        <w:t>CoVE</w:t>
      </w:r>
      <w:proofErr w:type="spellEnd"/>
      <w:r w:rsidR="00B02757">
        <w:rPr>
          <w:sz w:val="28"/>
          <w:szCs w:val="28"/>
        </w:rPr>
        <w:t xml:space="preserve"> </w:t>
      </w:r>
      <w:proofErr w:type="spellStart"/>
      <w:r w:rsidRPr="00B02757">
        <w:rPr>
          <w:sz w:val="28"/>
          <w:szCs w:val="28"/>
        </w:rPr>
        <w:t>TwinComm</w:t>
      </w:r>
      <w:proofErr w:type="spellEnd"/>
    </w:p>
    <w:p w14:paraId="294753FA" w14:textId="77777777" w:rsidR="00B02757" w:rsidRDefault="00B02757">
      <w:pPr>
        <w:pStyle w:val="Plattetekst"/>
      </w:pPr>
    </w:p>
    <w:p w14:paraId="0D07CD1B" w14:textId="60B7A1C3" w:rsidR="000C2A5D" w:rsidRDefault="00000000">
      <w:pPr>
        <w:pStyle w:val="Plattetekst"/>
      </w:pPr>
      <w:proofErr w:type="spellStart"/>
      <w:r>
        <w:t>TwinComm</w:t>
      </w:r>
      <w:proofErr w:type="spellEnd"/>
      <w:r>
        <w:t xml:space="preserve"> is a </w:t>
      </w:r>
      <w:hyperlink r:id="rId7" w:history="1">
        <w:r w:rsidRPr="00B02757">
          <w:rPr>
            <w:rStyle w:val="Hyperlink"/>
          </w:rPr>
          <w:t>E</w:t>
        </w:r>
        <w:r w:rsidR="00B02757" w:rsidRPr="00B02757">
          <w:rPr>
            <w:rStyle w:val="Hyperlink"/>
          </w:rPr>
          <w:t>rasmus+</w:t>
        </w:r>
        <w:r w:rsidRPr="00B02757">
          <w:rPr>
            <w:rStyle w:val="Hyperlink"/>
          </w:rPr>
          <w:t xml:space="preserve"> </w:t>
        </w:r>
        <w:proofErr w:type="spellStart"/>
        <w:r w:rsidRPr="00B02757">
          <w:rPr>
            <w:rStyle w:val="Hyperlink"/>
          </w:rPr>
          <w:t>Centre</w:t>
        </w:r>
        <w:r w:rsidR="00B02757" w:rsidRPr="00B02757">
          <w:rPr>
            <w:rStyle w:val="Hyperlink"/>
          </w:rPr>
          <w:t>s</w:t>
        </w:r>
        <w:proofErr w:type="spellEnd"/>
        <w:r w:rsidRPr="00B02757">
          <w:rPr>
            <w:rStyle w:val="Hyperlink"/>
          </w:rPr>
          <w:t xml:space="preserve"> of Vocational Excellence</w:t>
        </w:r>
      </w:hyperlink>
      <w:r>
        <w:t xml:space="preserve"> initiative that brings together vocational education, research, companies, media and regional stakeholders. The project focuses on transition communication: the role of communication in helping people, organisations and communities understand, discuss and act on major societal changes.</w:t>
      </w:r>
    </w:p>
    <w:p w14:paraId="7F543B47" w14:textId="77777777" w:rsidR="000C2A5D" w:rsidRDefault="00000000">
      <w:pPr>
        <w:pStyle w:val="Plattetekst"/>
      </w:pPr>
      <w:r>
        <w:t>The first focus of TwinComm is the twin transition. This means the combined green and digital transition that is shaping the future of European regions, labour markets and public services. These changes affect housing, mobility, circular economy, agrifood, energy, digitalisation and many other local and regional priorities.</w:t>
      </w:r>
    </w:p>
    <w:p w14:paraId="5D731504" w14:textId="77777777" w:rsidR="000C2A5D" w:rsidRPr="00B02757" w:rsidRDefault="00000000">
      <w:pPr>
        <w:pStyle w:val="Plattetekst"/>
        <w:rPr>
          <w:u w:val="single"/>
        </w:rPr>
      </w:pPr>
      <w:r w:rsidRPr="00B02757">
        <w:rPr>
          <w:u w:val="single"/>
        </w:rPr>
        <w:t>Why municipalities and regional governments matter</w:t>
      </w:r>
    </w:p>
    <w:p w14:paraId="22FA2EF8" w14:textId="77777777" w:rsidR="000C2A5D" w:rsidRDefault="00000000">
      <w:pPr>
        <w:pStyle w:val="Plattetekst"/>
      </w:pPr>
      <w:r>
        <w:t>Municipalities and regional authorities are close to the people, organisations and challenges that transitions affect. They understand local needs, policy priorities and regional development goals. At the same time, they play an important role in connecting education, companies, citizens and public organisations.</w:t>
      </w:r>
    </w:p>
    <w:p w14:paraId="72E8A4E0" w14:textId="77777777" w:rsidR="000C2A5D" w:rsidRDefault="00000000">
      <w:pPr>
        <w:pStyle w:val="Plattetekst"/>
      </w:pPr>
      <w:r>
        <w:t>By becoming an associated partner, your organisation can help ensure that TwinComm is not only a European project, but also a project with real regional value.</w:t>
      </w:r>
    </w:p>
    <w:p w14:paraId="620A1BD6" w14:textId="77777777" w:rsidR="000C2A5D" w:rsidRPr="00B02757" w:rsidRDefault="00000000">
      <w:pPr>
        <w:pStyle w:val="Plattetekst"/>
        <w:rPr>
          <w:u w:val="single"/>
        </w:rPr>
      </w:pPr>
      <w:r w:rsidRPr="00B02757">
        <w:rPr>
          <w:u w:val="single"/>
        </w:rPr>
        <w:t>What TwinComm wants to achieve</w:t>
      </w:r>
    </w:p>
    <w:p w14:paraId="38DAC153" w14:textId="77777777" w:rsidR="000C2A5D" w:rsidRDefault="00000000">
      <w:pPr>
        <w:pStyle w:val="Plattetekst"/>
      </w:pPr>
      <w:r>
        <w:t>TwinComm aims to strengthen the way regions communicate about change. The project will support vocational education and regional partners to:</w:t>
      </w:r>
    </w:p>
    <w:p w14:paraId="3B376C29" w14:textId="77777777" w:rsidR="000C2A5D" w:rsidRDefault="00000000">
      <w:pPr>
        <w:pStyle w:val="Compact"/>
        <w:numPr>
          <w:ilvl w:val="0"/>
          <w:numId w:val="2"/>
        </w:numPr>
      </w:pPr>
      <w:r>
        <w:t>develop practical knowledge on transition communication</w:t>
      </w:r>
    </w:p>
    <w:p w14:paraId="583D4705" w14:textId="77777777" w:rsidR="000C2A5D" w:rsidRDefault="00000000">
      <w:pPr>
        <w:pStyle w:val="Compact"/>
        <w:numPr>
          <w:ilvl w:val="0"/>
          <w:numId w:val="2"/>
        </w:numPr>
      </w:pPr>
      <w:r>
        <w:t>create learning materials for students, teachers and professionals</w:t>
      </w:r>
    </w:p>
    <w:p w14:paraId="41DA7AC2" w14:textId="77777777" w:rsidR="000C2A5D" w:rsidRDefault="00000000">
      <w:pPr>
        <w:pStyle w:val="Compact"/>
        <w:numPr>
          <w:ilvl w:val="0"/>
          <w:numId w:val="2"/>
        </w:numPr>
      </w:pPr>
      <w:r>
        <w:t>connect education more strongly to regional transition challenges</w:t>
      </w:r>
    </w:p>
    <w:p w14:paraId="75A44C8D" w14:textId="77777777" w:rsidR="000C2A5D" w:rsidRDefault="00000000">
      <w:pPr>
        <w:pStyle w:val="Compact"/>
        <w:numPr>
          <w:ilvl w:val="0"/>
          <w:numId w:val="2"/>
        </w:numPr>
      </w:pPr>
      <w:r>
        <w:t>involve companies, public actors and communities in dialogue</w:t>
      </w:r>
    </w:p>
    <w:p w14:paraId="3B19A287" w14:textId="77777777" w:rsidR="000C2A5D" w:rsidRDefault="00000000">
      <w:pPr>
        <w:pStyle w:val="Compact"/>
        <w:numPr>
          <w:ilvl w:val="0"/>
          <w:numId w:val="2"/>
        </w:numPr>
      </w:pPr>
      <w:r>
        <w:t>support regional cooperation around the twin transition</w:t>
      </w:r>
    </w:p>
    <w:p w14:paraId="617CDEB2" w14:textId="77777777" w:rsidR="000C2A5D" w:rsidRDefault="00000000">
      <w:pPr>
        <w:pStyle w:val="Compact"/>
        <w:numPr>
          <w:ilvl w:val="0"/>
          <w:numId w:val="2"/>
        </w:numPr>
      </w:pPr>
      <w:r>
        <w:t>share tools, examples and lessons learned across Europe</w:t>
      </w:r>
    </w:p>
    <w:p w14:paraId="0E7841B6" w14:textId="77777777" w:rsidR="000C2A5D" w:rsidRPr="00B02757" w:rsidRDefault="00000000">
      <w:pPr>
        <w:pStyle w:val="FirstParagraph"/>
        <w:rPr>
          <w:u w:val="single"/>
        </w:rPr>
      </w:pPr>
      <w:r w:rsidRPr="00B02757">
        <w:rPr>
          <w:u w:val="single"/>
        </w:rPr>
        <w:t>What it means to become an associated partner</w:t>
      </w:r>
    </w:p>
    <w:p w14:paraId="367D9DF0" w14:textId="77777777" w:rsidR="000C2A5D" w:rsidRDefault="00000000">
      <w:pPr>
        <w:pStyle w:val="Plattetekst"/>
      </w:pPr>
      <w:r>
        <w:t>As an associated partner, your organisation supports the project without receiving direct Erasmus+ funding or taking on formal project management responsibilities.</w:t>
      </w:r>
    </w:p>
    <w:p w14:paraId="0C20CA38" w14:textId="77777777" w:rsidR="000C2A5D" w:rsidRDefault="00000000">
      <w:pPr>
        <w:pStyle w:val="Plattetekst"/>
      </w:pPr>
      <w:r>
        <w:t>Your role can be flexible and adapted to your organisation’s capacity. For example, you may:</w:t>
      </w:r>
    </w:p>
    <w:p w14:paraId="06C6A072" w14:textId="77777777" w:rsidR="000C2A5D" w:rsidRDefault="00000000">
      <w:pPr>
        <w:pStyle w:val="Compact"/>
        <w:numPr>
          <w:ilvl w:val="0"/>
          <w:numId w:val="3"/>
        </w:numPr>
      </w:pPr>
      <w:r>
        <w:t>help connect the project to regional policy priorities</w:t>
      </w:r>
    </w:p>
    <w:p w14:paraId="0D05DAF5" w14:textId="4E561CEB" w:rsidR="000C2A5D" w:rsidRDefault="00000000">
      <w:pPr>
        <w:pStyle w:val="Compact"/>
        <w:numPr>
          <w:ilvl w:val="0"/>
          <w:numId w:val="3"/>
        </w:numPr>
      </w:pPr>
      <w:r>
        <w:t xml:space="preserve">join selected regional meetings, events or </w:t>
      </w:r>
      <w:r w:rsidR="00B02757">
        <w:t>trainings</w:t>
      </w:r>
    </w:p>
    <w:p w14:paraId="34AD9C8E" w14:textId="77777777" w:rsidR="000C2A5D" w:rsidRDefault="00000000">
      <w:pPr>
        <w:pStyle w:val="Compact"/>
        <w:numPr>
          <w:ilvl w:val="0"/>
          <w:numId w:val="3"/>
        </w:numPr>
      </w:pPr>
      <w:r>
        <w:lastRenderedPageBreak/>
        <w:t>share relevant local or regional challenges with the consortium</w:t>
      </w:r>
    </w:p>
    <w:p w14:paraId="035BCC3B" w14:textId="77777777" w:rsidR="000C2A5D" w:rsidRDefault="00000000">
      <w:pPr>
        <w:pStyle w:val="Compact"/>
        <w:numPr>
          <w:ilvl w:val="0"/>
          <w:numId w:val="3"/>
        </w:numPr>
      </w:pPr>
      <w:r>
        <w:t>help reach local stakeholders, companies or community organisations</w:t>
      </w:r>
    </w:p>
    <w:p w14:paraId="73B6A256" w14:textId="77777777" w:rsidR="000C2A5D" w:rsidRDefault="00000000">
      <w:pPr>
        <w:pStyle w:val="Compact"/>
        <w:numPr>
          <w:ilvl w:val="0"/>
          <w:numId w:val="3"/>
        </w:numPr>
      </w:pPr>
      <w:r>
        <w:t>support the use and visibility of project results after the project period</w:t>
      </w:r>
    </w:p>
    <w:p w14:paraId="407EB235" w14:textId="77777777" w:rsidR="000C2A5D" w:rsidRDefault="00000000">
      <w:pPr>
        <w:pStyle w:val="FirstParagraph"/>
      </w:pPr>
      <w:r>
        <w:t>The level of involvement can be agreed with the regional project partners. The main aim is to create a meaningful connection between TwinComm and the needs of your region.</w:t>
      </w:r>
    </w:p>
    <w:p w14:paraId="18C0369E" w14:textId="77777777" w:rsidR="00B02757" w:rsidRDefault="00B02757">
      <w:pPr>
        <w:pStyle w:val="Plattetekst"/>
        <w:rPr>
          <w:u w:val="single"/>
        </w:rPr>
      </w:pPr>
    </w:p>
    <w:p w14:paraId="5787638F" w14:textId="58A04D3E" w:rsidR="000C2A5D" w:rsidRPr="00B02757" w:rsidRDefault="00000000">
      <w:pPr>
        <w:pStyle w:val="Plattetekst"/>
        <w:rPr>
          <w:u w:val="single"/>
        </w:rPr>
      </w:pPr>
      <w:r w:rsidRPr="00B02757">
        <w:rPr>
          <w:u w:val="single"/>
        </w:rPr>
        <w:t>Why this is valuable for your organisation</w:t>
      </w:r>
    </w:p>
    <w:p w14:paraId="000349A8" w14:textId="77777777" w:rsidR="000C2A5D" w:rsidRDefault="00000000">
      <w:pPr>
        <w:pStyle w:val="Plattetekst"/>
      </w:pPr>
      <w:r>
        <w:t>By supporting TwinComm, your municipality or regional government can:</w:t>
      </w:r>
    </w:p>
    <w:p w14:paraId="192D6A4E" w14:textId="77777777" w:rsidR="000C2A5D" w:rsidRDefault="00000000">
      <w:pPr>
        <w:pStyle w:val="Compact"/>
        <w:numPr>
          <w:ilvl w:val="0"/>
          <w:numId w:val="4"/>
        </w:numPr>
      </w:pPr>
      <w:r>
        <w:t>strengthen cooperation with vocational education and local industry</w:t>
      </w:r>
    </w:p>
    <w:p w14:paraId="7E53F59F" w14:textId="77777777" w:rsidR="000C2A5D" w:rsidRDefault="00000000">
      <w:pPr>
        <w:pStyle w:val="Compact"/>
        <w:numPr>
          <w:ilvl w:val="0"/>
          <w:numId w:val="4"/>
        </w:numPr>
      </w:pPr>
      <w:r>
        <w:t>connect European innovation to local and regional policy goals</w:t>
      </w:r>
    </w:p>
    <w:p w14:paraId="7602C0C5" w14:textId="77777777" w:rsidR="000C2A5D" w:rsidRDefault="00000000">
      <w:pPr>
        <w:pStyle w:val="Compact"/>
        <w:numPr>
          <w:ilvl w:val="0"/>
          <w:numId w:val="4"/>
        </w:numPr>
      </w:pPr>
      <w:r>
        <w:t>gain access to knowledge, tools and good practices from other European regions</w:t>
      </w:r>
    </w:p>
    <w:p w14:paraId="62AA2C4B" w14:textId="77777777" w:rsidR="000C2A5D" w:rsidRDefault="00000000">
      <w:pPr>
        <w:pStyle w:val="Compact"/>
        <w:numPr>
          <w:ilvl w:val="0"/>
          <w:numId w:val="4"/>
        </w:numPr>
      </w:pPr>
      <w:r>
        <w:t>support citizens, learners and professionals in understanding complex transitions</w:t>
      </w:r>
    </w:p>
    <w:p w14:paraId="35721449" w14:textId="77777777" w:rsidR="000C2A5D" w:rsidRDefault="00000000">
      <w:pPr>
        <w:pStyle w:val="Compact"/>
        <w:numPr>
          <w:ilvl w:val="0"/>
          <w:numId w:val="4"/>
        </w:numPr>
      </w:pPr>
      <w:r>
        <w:t>contribute to a stronger regional response to green and digital change</w:t>
      </w:r>
    </w:p>
    <w:p w14:paraId="74810298" w14:textId="77777777" w:rsidR="000C2A5D" w:rsidRDefault="00000000">
      <w:pPr>
        <w:pStyle w:val="Compact"/>
        <w:numPr>
          <w:ilvl w:val="0"/>
          <w:numId w:val="4"/>
        </w:numPr>
      </w:pPr>
      <w:r>
        <w:t>increase the visibility of your region in a European cooperation network</w:t>
      </w:r>
    </w:p>
    <w:p w14:paraId="7E6DA90B" w14:textId="77777777" w:rsidR="00B02757" w:rsidRDefault="00B02757">
      <w:pPr>
        <w:pStyle w:val="FirstParagraph"/>
        <w:rPr>
          <w:u w:val="single"/>
        </w:rPr>
      </w:pPr>
    </w:p>
    <w:p w14:paraId="144D6567" w14:textId="20FBFEE0" w:rsidR="000C2A5D" w:rsidRPr="00B02757" w:rsidRDefault="00000000">
      <w:pPr>
        <w:pStyle w:val="FirstParagraph"/>
        <w:rPr>
          <w:u w:val="single"/>
        </w:rPr>
      </w:pPr>
      <w:r w:rsidRPr="00B02757">
        <w:rPr>
          <w:u w:val="single"/>
        </w:rPr>
        <w:t>A small commitment with regional impact</w:t>
      </w:r>
    </w:p>
    <w:p w14:paraId="65F30A6C" w14:textId="77777777" w:rsidR="00B02757" w:rsidRPr="00B02757" w:rsidRDefault="00B02757" w:rsidP="00B02757">
      <w:pPr>
        <w:pStyle w:val="Plattetekst"/>
      </w:pPr>
      <w:r w:rsidRPr="00B02757">
        <w:t xml:space="preserve">Becoming an associated partner is simple. Your </w:t>
      </w:r>
      <w:proofErr w:type="spellStart"/>
      <w:r w:rsidRPr="00B02757">
        <w:t>organisation</w:t>
      </w:r>
      <w:proofErr w:type="spellEnd"/>
      <w:r w:rsidRPr="00B02757">
        <w:t xml:space="preserve"> only needs to sign a letter of support for the </w:t>
      </w:r>
      <w:proofErr w:type="spellStart"/>
      <w:r w:rsidRPr="00B02757">
        <w:t>TwinComm</w:t>
      </w:r>
      <w:proofErr w:type="spellEnd"/>
      <w:r w:rsidRPr="00B02757">
        <w:t xml:space="preserve"> application.</w:t>
      </w:r>
    </w:p>
    <w:p w14:paraId="37E3C440" w14:textId="77777777" w:rsidR="00B02757" w:rsidRPr="00B02757" w:rsidRDefault="00B02757" w:rsidP="00B02757">
      <w:pPr>
        <w:pStyle w:val="Plattetekst"/>
      </w:pPr>
      <w:r w:rsidRPr="00B02757">
        <w:t xml:space="preserve">This letter shows that your </w:t>
      </w:r>
      <w:proofErr w:type="spellStart"/>
      <w:r w:rsidRPr="00B02757">
        <w:t>organisation</w:t>
      </w:r>
      <w:proofErr w:type="spellEnd"/>
      <w:r w:rsidRPr="00B02757">
        <w:t xml:space="preserve"> supports the project idea and sees the value of stronger regional cooperation around the twin transition. It does not mean that your </w:t>
      </w:r>
      <w:proofErr w:type="spellStart"/>
      <w:r w:rsidRPr="00B02757">
        <w:t>organisation</w:t>
      </w:r>
      <w:proofErr w:type="spellEnd"/>
      <w:r w:rsidRPr="00B02757">
        <w:t xml:space="preserve"> takes on a formal project role or receives Erasmus+ funding.</w:t>
      </w:r>
    </w:p>
    <w:p w14:paraId="37EC9E1F" w14:textId="77777777" w:rsidR="00B02757" w:rsidRPr="00B02757" w:rsidRDefault="00B02757" w:rsidP="00B02757">
      <w:pPr>
        <w:pStyle w:val="Plattetekst"/>
      </w:pPr>
      <w:r w:rsidRPr="00B02757">
        <w:t xml:space="preserve">With this support, </w:t>
      </w:r>
      <w:proofErr w:type="spellStart"/>
      <w:r w:rsidRPr="00B02757">
        <w:t>TwinComm</w:t>
      </w:r>
      <w:proofErr w:type="spellEnd"/>
      <w:r w:rsidRPr="00B02757">
        <w:t xml:space="preserve"> can show that the project is connected to real regional needs and </w:t>
      </w:r>
      <w:proofErr w:type="spellStart"/>
      <w:r w:rsidRPr="00B02757">
        <w:t>prioritie</w:t>
      </w:r>
      <w:proofErr w:type="spellEnd"/>
    </w:p>
    <w:p w14:paraId="219A60C5" w14:textId="77777777" w:rsidR="000C2A5D" w:rsidRDefault="00000000">
      <w:pPr>
        <w:pStyle w:val="Plattetekst"/>
      </w:pPr>
      <w:r>
        <w:t>We would be pleased to welcome your organisation as an associated partner in TwinComm.</w:t>
      </w:r>
    </w:p>
    <w:sectPr w:rsidR="000C2A5D">
      <w:headerReference w:type="default" r:id="rId8"/>
      <w:footnotePr>
        <w:numRestart w:val="eachSect"/>
      </w:footnotePr>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1866" w14:textId="77777777" w:rsidR="00691FFE" w:rsidRDefault="00691FFE" w:rsidP="00B02757">
      <w:pPr>
        <w:spacing w:after="0"/>
      </w:pPr>
      <w:r>
        <w:separator/>
      </w:r>
    </w:p>
  </w:endnote>
  <w:endnote w:type="continuationSeparator" w:id="0">
    <w:p w14:paraId="48A601FB" w14:textId="77777777" w:rsidR="00691FFE" w:rsidRDefault="00691FFE" w:rsidP="00B027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48EB" w14:textId="77777777" w:rsidR="00691FFE" w:rsidRDefault="00691FFE" w:rsidP="00B02757">
      <w:pPr>
        <w:spacing w:after="0"/>
      </w:pPr>
      <w:r>
        <w:separator/>
      </w:r>
    </w:p>
  </w:footnote>
  <w:footnote w:type="continuationSeparator" w:id="0">
    <w:p w14:paraId="61FE40E4" w14:textId="77777777" w:rsidR="00691FFE" w:rsidRDefault="00691FFE" w:rsidP="00B027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6749" w14:textId="3B0D31D7" w:rsidR="00B02757" w:rsidRDefault="00B02757">
    <w:pPr>
      <w:pStyle w:val="Koptekst"/>
    </w:pPr>
    <w:r w:rsidRPr="00B02757">
      <w:drawing>
        <wp:anchor distT="0" distB="0" distL="114300" distR="114300" simplePos="0" relativeHeight="251658240" behindDoc="0" locked="0" layoutInCell="1" allowOverlap="1" wp14:anchorId="043DC699" wp14:editId="4D8B440C">
          <wp:simplePos x="0" y="0"/>
          <wp:positionH relativeFrom="column">
            <wp:posOffset>4952365</wp:posOffset>
          </wp:positionH>
          <wp:positionV relativeFrom="paragraph">
            <wp:posOffset>-449580</wp:posOffset>
          </wp:positionV>
          <wp:extent cx="1854200" cy="927100"/>
          <wp:effectExtent l="0" t="0" r="0" b="0"/>
          <wp:wrapNone/>
          <wp:docPr id="4" name="Afbeelding 3">
            <a:extLst xmlns:a="http://schemas.openxmlformats.org/drawingml/2006/main">
              <a:ext uri="{FF2B5EF4-FFF2-40B4-BE49-F238E27FC236}">
                <a16:creationId xmlns:a16="http://schemas.microsoft.com/office/drawing/2014/main" id="{918E0832-75B3-FB11-823F-FF9CA1889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918E0832-75B3-FB11-823F-FF9CA1889A8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4633" cy="9273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73A731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9C2D24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191840082">
    <w:abstractNumId w:val="0"/>
  </w:num>
  <w:num w:numId="2" w16cid:durableId="1710258752">
    <w:abstractNumId w:val="1"/>
  </w:num>
  <w:num w:numId="3" w16cid:durableId="1315376948">
    <w:abstractNumId w:val="1"/>
  </w:num>
  <w:num w:numId="4" w16cid:durableId="78330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5D"/>
    <w:rsid w:val="000C2A5D"/>
    <w:rsid w:val="005D29E1"/>
    <w:rsid w:val="00691FFE"/>
    <w:rsid w:val="00B0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3E2E"/>
  <w15:docId w15:val="{2C36A006-8C9E-46FE-8DDD-DF23602B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Plattetekst"/>
    <w:link w:val="Kop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Plattetekst"/>
    <w:link w:val="Kop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Plattetekst"/>
    <w:link w:val="Kop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Plattetekst"/>
    <w:link w:val="Kop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Plattetekst"/>
    <w:link w:val="Kop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Plattetekst"/>
    <w:link w:val="Kop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Plattetekst"/>
    <w:link w:val="Kop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Plattetekst"/>
    <w:link w:val="Kop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Plattetekst"/>
    <w:link w:val="Kop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link w:val="Tite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FD9"/>
    <w:rPr>
      <w:rFonts w:asciiTheme="majorHAnsi" w:eastAsiaTheme="majorEastAsia" w:hAnsiTheme="majorHAnsi" w:cstheme="majorBidi"/>
      <w:spacing w:val="-10"/>
      <w:kern w:val="28"/>
      <w:sz w:val="56"/>
      <w:szCs w:val="56"/>
    </w:rPr>
  </w:style>
  <w:style w:type="paragraph" w:styleId="Ondertitel">
    <w:name w:val="Subtitle"/>
    <w:basedOn w:val="Titel"/>
    <w:next w:val="Plattetekst"/>
    <w:link w:val="OndertitelChar"/>
    <w:uiPriority w:val="11"/>
    <w:qFormat/>
    <w:rsid w:val="00A10FD9"/>
    <w:pPr>
      <w:numPr>
        <w:ilvl w:val="1"/>
      </w:numPr>
    </w:pPr>
    <w:rPr>
      <w:spacing w:val="15"/>
      <w:sz w:val="28"/>
      <w:szCs w:val="28"/>
    </w:rPr>
  </w:style>
  <w:style w:type="character" w:customStyle="1" w:styleId="OndertitelChar">
    <w:name w:val="Ondertitel Char"/>
    <w:basedOn w:val="Standaardalinea-lettertype"/>
    <w:link w:val="Ond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Title">
    <w:name w:val="Abstract Title"/>
    <w:basedOn w:val="Standaard"/>
    <w:next w:val="Abstract"/>
    <w:qFormat/>
    <w:pPr>
      <w:keepNext/>
      <w:keepLines/>
      <w:spacing w:before="300" w:after="0"/>
      <w:jc w:val="center"/>
    </w:pPr>
    <w:rPr>
      <w:b/>
      <w:sz w:val="20"/>
      <w:szCs w:val="20"/>
    </w:rPr>
  </w:style>
  <w:style w:type="paragraph" w:customStyle="1" w:styleId="Abstract">
    <w:name w:val="Abstract"/>
    <w:basedOn w:val="Standaard"/>
    <w:next w:val="Plattetekst"/>
    <w:qFormat/>
    <w:pPr>
      <w:keepNext/>
      <w:keepLines/>
      <w:spacing w:before="100" w:after="300"/>
    </w:pPr>
    <w:rPr>
      <w:sz w:val="20"/>
      <w:szCs w:val="20"/>
    </w:rPr>
  </w:style>
  <w:style w:type="paragraph" w:styleId="Bibliografie">
    <w:name w:val="Bibliography"/>
    <w:basedOn w:val="Standaard"/>
    <w:qFormat/>
  </w:style>
  <w:style w:type="character" w:customStyle="1" w:styleId="Kop1Char">
    <w:name w:val="Kop 1 Char"/>
    <w:basedOn w:val="Standaardalinea-lettertype"/>
    <w:link w:val="Kop1"/>
    <w:uiPriority w:val="9"/>
    <w:rsid w:val="00A10F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0F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F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F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FD9"/>
    <w:rPr>
      <w:rFonts w:eastAsiaTheme="majorEastAsia" w:cstheme="majorBidi"/>
      <w:color w:val="272727" w:themeColor="text1" w:themeTint="D8"/>
    </w:rPr>
  </w:style>
  <w:style w:type="paragraph" w:styleId="Bloktekst">
    <w:name w:val="Block Text"/>
    <w:basedOn w:val="Plattetekst"/>
    <w:next w:val="Plattetekst"/>
    <w:uiPriority w:val="9"/>
    <w:unhideWhenUsed/>
    <w:qFormat/>
    <w:pPr>
      <w:spacing w:before="100" w:after="100"/>
      <w:ind w:left="480" w:right="480"/>
    </w:pPr>
  </w:style>
  <w:style w:type="paragraph" w:styleId="Voetnoottekst">
    <w:name w:val="footnote text"/>
    <w:basedOn w:val="Standaard"/>
    <w:uiPriority w:val="9"/>
    <w:unhideWhenUsed/>
    <w:qFormat/>
  </w:style>
  <w:style w:type="paragraph" w:customStyle="1" w:styleId="FootnoteBlockText">
    <w:name w:val="Footnote Block Text"/>
    <w:basedOn w:val="Voetnoottekst"/>
    <w:next w:val="Voetnootteks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customStyle="1" w:styleId="SectionNumber">
    <w:name w:val="Section Number"/>
    <w:basedOn w:val="BijschriftChar"/>
  </w:style>
  <w:style w:type="character" w:styleId="Voetnootmarkering">
    <w:name w:val="footnote reference"/>
    <w:basedOn w:val="BijschriftChar"/>
    <w:rPr>
      <w:vertAlign w:val="superscript"/>
    </w:rPr>
  </w:style>
  <w:style w:type="character" w:styleId="Hyperlink">
    <w:name w:val="Hyperlink"/>
    <w:basedOn w:val="BijschriftChar"/>
    <w:rPr>
      <w:color w:val="156082" w:themeColor="accent1"/>
    </w:rPr>
  </w:style>
  <w:style w:type="paragraph" w:styleId="Kopvaninhoudsopgave">
    <w:name w:val="TOC Heading"/>
    <w:basedOn w:val="Kop1"/>
    <w:next w:val="Plattetekst"/>
    <w:uiPriority w:val="39"/>
    <w:unhideWhenUsed/>
    <w:qFormat/>
    <w:pPr>
      <w:spacing w:before="240" w:line="259" w:lineRule="auto"/>
      <w:outlineLvl w:val="9"/>
    </w:p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Onopgelostemelding">
    <w:name w:val="Unresolved Mention"/>
    <w:basedOn w:val="Standaardalinea-lettertype"/>
    <w:uiPriority w:val="99"/>
    <w:semiHidden/>
    <w:unhideWhenUsed/>
    <w:rsid w:val="00B02757"/>
    <w:rPr>
      <w:color w:val="605E5C"/>
      <w:shd w:val="clear" w:color="auto" w:fill="E1DFDD"/>
    </w:rPr>
  </w:style>
  <w:style w:type="paragraph" w:styleId="Koptekst">
    <w:name w:val="header"/>
    <w:basedOn w:val="Standaard"/>
    <w:link w:val="KoptekstChar"/>
    <w:rsid w:val="00B02757"/>
    <w:pPr>
      <w:tabs>
        <w:tab w:val="center" w:pos="4536"/>
        <w:tab w:val="right" w:pos="9072"/>
      </w:tabs>
      <w:spacing w:after="0"/>
    </w:pPr>
  </w:style>
  <w:style w:type="character" w:customStyle="1" w:styleId="KoptekstChar">
    <w:name w:val="Koptekst Char"/>
    <w:basedOn w:val="Standaardalinea-lettertype"/>
    <w:link w:val="Koptekst"/>
    <w:rsid w:val="00B02757"/>
  </w:style>
  <w:style w:type="paragraph" w:styleId="Voettekst">
    <w:name w:val="footer"/>
    <w:basedOn w:val="Standaard"/>
    <w:link w:val="VoettekstChar"/>
    <w:rsid w:val="00B02757"/>
    <w:pPr>
      <w:tabs>
        <w:tab w:val="center" w:pos="4536"/>
        <w:tab w:val="right" w:pos="9072"/>
      </w:tabs>
      <w:spacing w:after="0"/>
    </w:pPr>
  </w:style>
  <w:style w:type="character" w:customStyle="1" w:styleId="VoettekstChar">
    <w:name w:val="Voettekst Char"/>
    <w:basedOn w:val="Standaardalinea-lettertype"/>
    <w:link w:val="Voettekst"/>
    <w:rsid w:val="00B02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rasmus-plus.ec.europa.eu/programme-guide/part-b/key-action-2/centres-of-vocational-excell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3253</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Sytske Valk</dc:creator>
  <cp:keywords/>
  <cp:lastModifiedBy>Sytske Valk</cp:lastModifiedBy>
  <cp:revision>2</cp:revision>
  <dcterms:created xsi:type="dcterms:W3CDTF">2026-06-08T18:54:00Z</dcterms:created>
  <dcterms:modified xsi:type="dcterms:W3CDTF">2026-06-08T18:54:00Z</dcterms:modified>
</cp:coreProperties>
</file>